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E4" w:rsidRPr="006939E4" w:rsidRDefault="006939E4" w:rsidP="006939E4">
      <w:pPr>
        <w:shd w:val="clear" w:color="auto" w:fill="F0F0F0"/>
        <w:spacing w:before="100" w:beforeAutospacing="1" w:after="100" w:afterAutospacing="1" w:line="240" w:lineRule="auto"/>
        <w:outlineLvl w:val="0"/>
        <w:rPr>
          <w:rFonts w:ascii="Arial" w:eastAsia="Times New Roman" w:hAnsi="Arial" w:cs="Arial"/>
          <w:b/>
          <w:bCs/>
          <w:color w:val="FF0000"/>
          <w:kern w:val="36"/>
          <w:sz w:val="36"/>
          <w:szCs w:val="36"/>
        </w:rPr>
      </w:pPr>
      <w:r w:rsidRPr="006939E4">
        <w:rPr>
          <w:rFonts w:ascii="Arial" w:eastAsia="Times New Roman" w:hAnsi="Arial" w:cs="Arial"/>
          <w:b/>
          <w:bCs/>
          <w:color w:val="FF0000"/>
          <w:kern w:val="36"/>
          <w:sz w:val="36"/>
          <w:szCs w:val="36"/>
        </w:rPr>
        <w:t>Toàn cảnh điều kiện được đăng ký xét tuyển vào nhóm trường GX</w:t>
      </w:r>
    </w:p>
    <w:p w:rsidR="006939E4" w:rsidRPr="006939E4" w:rsidRDefault="006939E4" w:rsidP="006939E4">
      <w:pPr>
        <w:shd w:val="clear" w:color="auto" w:fill="F0F0F0"/>
        <w:spacing w:line="300" w:lineRule="atLeast"/>
        <w:jc w:val="both"/>
        <w:rPr>
          <w:rFonts w:ascii="Arial" w:eastAsia="Times New Roman" w:hAnsi="Arial" w:cs="Arial"/>
          <w:b/>
          <w:bCs/>
          <w:color w:val="333333"/>
          <w:sz w:val="21"/>
          <w:szCs w:val="21"/>
        </w:rPr>
      </w:pPr>
      <w:r w:rsidRPr="006939E4">
        <w:rPr>
          <w:rFonts w:ascii="Arial" w:eastAsia="Times New Roman" w:hAnsi="Arial" w:cs="Arial"/>
          <w:b/>
          <w:bCs/>
          <w:color w:val="333333"/>
          <w:sz w:val="21"/>
          <w:szCs w:val="21"/>
        </w:rPr>
        <w:t>GD&amp;TĐ - Các trường nhóm GX công bố điều kiện xét tuyển vào từng trường. Trong đó, điều kiện chung là </w:t>
      </w:r>
      <w:r w:rsidRPr="006939E4">
        <w:rPr>
          <w:rFonts w:ascii="Arial" w:eastAsia="Times New Roman" w:hAnsi="Arial" w:cs="Arial"/>
          <w:b/>
          <w:bCs/>
          <w:i/>
          <w:iCs/>
          <w:color w:val="333333"/>
          <w:sz w:val="21"/>
        </w:rPr>
        <w:t>t</w:t>
      </w:r>
      <w:r w:rsidRPr="006939E4">
        <w:rPr>
          <w:rFonts w:ascii="Arial" w:eastAsia="Times New Roman" w:hAnsi="Arial" w:cs="Arial"/>
          <w:b/>
          <w:bCs/>
          <w:color w:val="333333"/>
          <w:sz w:val="21"/>
          <w:szCs w:val="21"/>
        </w:rPr>
        <w:t>hí sinh có đủ điều kiện tham gia tuyển sinh quy định tại Quy chế tuyển sinh ĐH, CĐ hệ chính quy hiện hành và đã đăng ký sử dụng kết quả kỳ thi THPT quốc gia để xét tuyển đại học;</w:t>
      </w:r>
    </w:p>
    <w:p w:rsidR="006939E4" w:rsidRPr="006939E4" w:rsidRDefault="006939E4" w:rsidP="006939E4">
      <w:pPr>
        <w:shd w:val="clear" w:color="auto" w:fill="F0F0F0"/>
        <w:spacing w:line="315" w:lineRule="atLeast"/>
        <w:jc w:val="both"/>
        <w:rPr>
          <w:rFonts w:ascii="Arial" w:eastAsia="Times New Roman" w:hAnsi="Arial" w:cs="Arial"/>
          <w:color w:val="333333"/>
          <w:sz w:val="21"/>
          <w:szCs w:val="21"/>
        </w:rPr>
      </w:pPr>
      <w:r w:rsidRPr="006939E4">
        <w:rPr>
          <w:rFonts w:ascii="Arial" w:eastAsia="Times New Roman" w:hAnsi="Arial" w:cs="Arial"/>
          <w:color w:val="333333"/>
          <w:sz w:val="21"/>
          <w:szCs w:val="21"/>
        </w:rPr>
        <w:t>Điểm thi các môn thuộc tổ hợp môn xét tuyển đạt ngưỡng đảm bảo chất lượng đầu vào theo quy định của Bộ GD&amp;ĐT và không có môn thi nào trong tổ hợp môn xét tuyển có kết quả từ 1,0 điểm trở xuống.</w:t>
      </w:r>
    </w:p>
    <w:p w:rsidR="006939E4" w:rsidRPr="006939E4" w:rsidRDefault="006939E4" w:rsidP="006939E4">
      <w:pPr>
        <w:shd w:val="clear" w:color="auto" w:fill="F0F0F0"/>
        <w:spacing w:line="315" w:lineRule="atLeast"/>
        <w:jc w:val="left"/>
        <w:rPr>
          <w:rFonts w:ascii="Arial" w:eastAsia="Times New Roman" w:hAnsi="Arial" w:cs="Arial"/>
          <w:color w:val="C00000"/>
          <w:sz w:val="21"/>
          <w:szCs w:val="21"/>
        </w:rPr>
      </w:pPr>
      <w:r w:rsidRPr="006939E4">
        <w:rPr>
          <w:rFonts w:ascii="Arial" w:eastAsia="Times New Roman" w:hAnsi="Arial" w:cs="Arial"/>
          <w:b/>
          <w:bCs/>
          <w:i/>
          <w:iCs/>
          <w:color w:val="C00000"/>
          <w:sz w:val="21"/>
        </w:rPr>
        <w:t>Điều kiện riêng của từng trường</w:t>
      </w:r>
      <w:r w:rsidRPr="006939E4">
        <w:rPr>
          <w:rFonts w:ascii="Arial" w:eastAsia="Times New Roman" w:hAnsi="Arial" w:cs="Arial"/>
          <w:b/>
          <w:bCs/>
          <w:color w:val="C00000"/>
          <w:sz w:val="21"/>
        </w:rPr>
        <w:t> đ</w:t>
      </w:r>
      <w:r w:rsidRPr="006939E4">
        <w:rPr>
          <w:rFonts w:ascii="Arial" w:eastAsia="Times New Roman" w:hAnsi="Arial" w:cs="Arial"/>
          <w:color w:val="C00000"/>
          <w:sz w:val="21"/>
          <w:szCs w:val="21"/>
        </w:rPr>
        <w:t>ược quy định như sau:</w:t>
      </w:r>
    </w:p>
    <w:tbl>
      <w:tblPr>
        <w:tblW w:w="7500" w:type="dxa"/>
        <w:jc w:val="center"/>
        <w:tblCellMar>
          <w:left w:w="0" w:type="dxa"/>
          <w:right w:w="0" w:type="dxa"/>
        </w:tblCellMar>
        <w:tblLook w:val="04A0"/>
      </w:tblPr>
      <w:tblGrid>
        <w:gridCol w:w="401"/>
        <w:gridCol w:w="2399"/>
        <w:gridCol w:w="896"/>
        <w:gridCol w:w="3804"/>
      </w:tblGrid>
      <w:tr w:rsidR="006939E4" w:rsidRPr="006939E4" w:rsidTr="006939E4">
        <w:trPr>
          <w:jc w:val="center"/>
        </w:trPr>
        <w:tc>
          <w:tcPr>
            <w:tcW w:w="255" w:type="dxa"/>
            <w:shd w:val="clear" w:color="auto" w:fill="auto"/>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TT</w:t>
            </w:r>
          </w:p>
        </w:tc>
        <w:tc>
          <w:tcPr>
            <w:tcW w:w="1920" w:type="dxa"/>
            <w:shd w:val="clear" w:color="auto" w:fill="auto"/>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Tên trường</w:t>
            </w:r>
          </w:p>
        </w:tc>
        <w:tc>
          <w:tcPr>
            <w:tcW w:w="510" w:type="dxa"/>
            <w:shd w:val="clear" w:color="auto" w:fill="auto"/>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Mã trường</w:t>
            </w:r>
          </w:p>
        </w:tc>
        <w:tc>
          <w:tcPr>
            <w:tcW w:w="3045" w:type="dxa"/>
            <w:shd w:val="clear" w:color="auto" w:fill="auto"/>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Điều kiện ĐKXT</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1</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họcBách khoa Hà Nội</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BKA</w:t>
            </w:r>
          </w:p>
        </w:tc>
        <w:tc>
          <w:tcPr>
            <w:tcW w:w="3045"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 Tổng điểm trung bình của các môn học thuộc tổ hợp môn xét tuyển, tính cho 06 học kỳ THPT từ</w:t>
            </w:r>
            <w:r w:rsidRPr="006939E4">
              <w:rPr>
                <w:rFonts w:eastAsia="Times New Roman" w:cs="Times New Roman"/>
                <w:b/>
                <w:bCs/>
                <w:sz w:val="24"/>
                <w:szCs w:val="24"/>
              </w:rPr>
              <w:t>20,0</w:t>
            </w:r>
            <w:r w:rsidRPr="006939E4">
              <w:rPr>
                <w:rFonts w:eastAsia="Times New Roman" w:cs="Times New Roman"/>
                <w:sz w:val="24"/>
                <w:szCs w:val="24"/>
              </w:rPr>
              <w:t>trở lên (Trường sẽ kiểm tra học bạ THPT khi thí sinh trúng tuyển đến nhập học);</w:t>
            </w:r>
          </w:p>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 Tổng điểm 3 môn xét tuyển và điểm ưu tiên (KV, ĐT) không thấp hơn</w:t>
            </w:r>
            <w:r w:rsidRPr="006939E4">
              <w:rPr>
                <w:rFonts w:eastAsia="Times New Roman" w:cs="Times New Roman"/>
                <w:b/>
                <w:bCs/>
                <w:sz w:val="24"/>
                <w:szCs w:val="24"/>
              </w:rPr>
              <w:t>18,0</w:t>
            </w:r>
            <w:r w:rsidRPr="006939E4">
              <w:rPr>
                <w:rFonts w:eastAsia="Times New Roman" w:cs="Times New Roman"/>
                <w:sz w:val="24"/>
                <w:szCs w:val="24"/>
              </w:rPr>
              <w:t>(điều kiện này không áp dụng cho các Chương trình đào tạo quốc tế với mã QT21, QT31, QT32 và QT33).</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2</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Đạihọc Kinh tế Quốc dân</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KHA</w:t>
            </w:r>
          </w:p>
        </w:tc>
        <w:tc>
          <w:tcPr>
            <w:tcW w:w="3045"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Điểm ba môn thi của tổ hợp môn xét tuyển cao hơn ngưỡng đảm bảo chất lượng đầu vào theo quy định của Bộ GDĐT ít nhất 2 (hai) điểm.</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3</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họcXây dựng</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XDA</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4</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họcNgoại thương</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NTH</w:t>
            </w:r>
          </w:p>
        </w:tc>
        <w:tc>
          <w:tcPr>
            <w:tcW w:w="3045"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 Điểm trung bình chung học tập của từng năm lớp 10, 11, 12 từ 6,5 trở lên, hạnh kiểm của từng năm lớp 10, 11, 12 từ Khá trở lên.</w:t>
            </w:r>
          </w:p>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 Điểm ba môn thi (theo tổ hợp môn xét tuyển) đạt mức điểm thông báo nhận hồ sơ xét tuyển của Nhà trường.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5</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họcThủy lợi</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TLA</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6</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họcGiao thông Vận tải</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GHA</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7</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họcMỏ-Địa chất</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MDA</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8</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họcCông nghiệp Hà Nội</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DCN</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9</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họcCông nghệ GTVT</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GTA</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10</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Học viện Ngân hàng</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NHH</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11</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Đại họcThăng Long</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DTL</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r w:rsidR="006939E4" w:rsidRPr="006939E4" w:rsidTr="006939E4">
        <w:trPr>
          <w:jc w:val="center"/>
        </w:trPr>
        <w:tc>
          <w:tcPr>
            <w:tcW w:w="25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lastRenderedPageBreak/>
              <w:t>12</w:t>
            </w:r>
          </w:p>
        </w:tc>
        <w:tc>
          <w:tcPr>
            <w:tcW w:w="1920" w:type="dxa"/>
            <w:shd w:val="clear" w:color="auto" w:fill="auto"/>
            <w:vAlign w:val="center"/>
            <w:hideMark/>
          </w:tcPr>
          <w:p w:rsidR="006939E4" w:rsidRPr="006939E4" w:rsidRDefault="006939E4" w:rsidP="006939E4">
            <w:pPr>
              <w:spacing w:line="240" w:lineRule="auto"/>
              <w:jc w:val="left"/>
              <w:rPr>
                <w:rFonts w:eastAsia="Times New Roman" w:cs="Times New Roman"/>
                <w:sz w:val="24"/>
                <w:szCs w:val="24"/>
              </w:rPr>
            </w:pPr>
            <w:r w:rsidRPr="006939E4">
              <w:rPr>
                <w:rFonts w:eastAsia="Times New Roman" w:cs="Times New Roman"/>
                <w:sz w:val="24"/>
                <w:szCs w:val="24"/>
              </w:rPr>
              <w:t>HV Chính sách và Phát triển</w:t>
            </w:r>
          </w:p>
        </w:tc>
        <w:tc>
          <w:tcPr>
            <w:tcW w:w="510"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b/>
                <w:bCs/>
                <w:sz w:val="24"/>
                <w:szCs w:val="24"/>
              </w:rPr>
              <w:t>HCP</w:t>
            </w:r>
          </w:p>
        </w:tc>
        <w:tc>
          <w:tcPr>
            <w:tcW w:w="3045" w:type="dxa"/>
            <w:shd w:val="clear" w:color="auto" w:fill="auto"/>
            <w:vAlign w:val="center"/>
            <w:hideMark/>
          </w:tcPr>
          <w:p w:rsidR="006939E4" w:rsidRPr="006939E4" w:rsidRDefault="006939E4" w:rsidP="006939E4">
            <w:pPr>
              <w:spacing w:line="240" w:lineRule="auto"/>
              <w:rPr>
                <w:rFonts w:eastAsia="Times New Roman" w:cs="Times New Roman"/>
                <w:sz w:val="24"/>
                <w:szCs w:val="24"/>
              </w:rPr>
            </w:pPr>
            <w:r w:rsidRPr="006939E4">
              <w:rPr>
                <w:rFonts w:eastAsia="Times New Roman" w:cs="Times New Roman"/>
                <w:sz w:val="24"/>
                <w:szCs w:val="24"/>
              </w:rPr>
              <w:t>Không có điều kiện ĐKXT riêng</w:t>
            </w:r>
          </w:p>
        </w:tc>
      </w:tr>
    </w:tbl>
    <w:p w:rsidR="006939E4" w:rsidRPr="006939E4" w:rsidRDefault="006939E4" w:rsidP="006939E4">
      <w:pPr>
        <w:shd w:val="clear" w:color="auto" w:fill="F0F0F0"/>
        <w:spacing w:line="315" w:lineRule="atLeast"/>
        <w:jc w:val="left"/>
        <w:rPr>
          <w:rFonts w:ascii="Arial" w:eastAsia="Times New Roman" w:hAnsi="Arial" w:cs="Arial"/>
          <w:color w:val="C00000"/>
          <w:sz w:val="21"/>
          <w:szCs w:val="21"/>
        </w:rPr>
      </w:pPr>
      <w:r w:rsidRPr="006939E4">
        <w:rPr>
          <w:rFonts w:ascii="Arial" w:eastAsia="Times New Roman" w:hAnsi="Arial" w:cs="Arial"/>
          <w:color w:val="C00000"/>
          <w:sz w:val="21"/>
          <w:szCs w:val="21"/>
        </w:rPr>
        <w:t> </w:t>
      </w:r>
      <w:r w:rsidRPr="006939E4">
        <w:rPr>
          <w:rFonts w:ascii="Arial" w:eastAsia="Times New Roman" w:hAnsi="Arial" w:cs="Arial"/>
          <w:b/>
          <w:bCs/>
          <w:i/>
          <w:iCs/>
          <w:color w:val="C00000"/>
          <w:sz w:val="21"/>
        </w:rPr>
        <w:t>Thời gian nhận ĐKXT vào các trường GX cụ thể như sau:</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ĐKXT đợt 1: Từ 8h00 ngày 01/8/2016 đến 17h00 ngày 12/8/2016</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ĐKXT bổ sung đợt 1: Từ 8h00 ngày 21/8/2016 đến  17h00 ngày 31/8/2016</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ĐKXT bổ sung đợt 2: Từ 8h00 ngày 11/9/2016 đến  17h00 ngày 21/9/2016.</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Trong thời hạn quy định của mỗi đợt xét tuyển, thí sinh thực hiện ĐKXT vào nhóm GX theo 1 trong 3 cách sau:</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 Cách 1: ĐKXT trên hệ thống đăng ký trực tuyến do Bộ GDĐT quản lý bằng cách điền đầy đủ thông tin vào Phiếu ĐKXT theo nhóm trường đã tạo cho nhóm GX. Việc đóng phí ĐKXT sẽ được hướng dẫn sau.</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 Cách 2: Tải xuống mẫu Phiếu ĐKXT theo nhóm trường GX và điền đầy đủ thông tin, gửi phiếu này và lệ phí ĐKXT đến địa chỉ của trường nguyện vọng 1 qua đường bưu điện (theo hình thức chuyển phát nhanh, chuyển phát ưu tiên).</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 Cách 3: Nộp trực tiếp phiếu ĐKXT (đã điền đầy đủ thông tin) và phí ĐKXT tại một trường bất kỳ thuộc nhóm GX.</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 Mức phí ĐKXT được quy định như sau:</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 Thí sinh ĐKXT vào 1 trường trong nhóm GX: 30 nghìn đồng</w:t>
      </w:r>
    </w:p>
    <w:p w:rsidR="006939E4" w:rsidRPr="006939E4" w:rsidRDefault="006939E4" w:rsidP="006939E4">
      <w:pPr>
        <w:shd w:val="clear" w:color="auto" w:fill="F0F0F0"/>
        <w:spacing w:line="315" w:lineRule="atLeast"/>
        <w:jc w:val="left"/>
        <w:rPr>
          <w:rFonts w:ascii="Arial" w:eastAsia="Times New Roman" w:hAnsi="Arial" w:cs="Arial"/>
          <w:color w:val="333333"/>
          <w:sz w:val="21"/>
          <w:szCs w:val="21"/>
        </w:rPr>
      </w:pPr>
      <w:r w:rsidRPr="006939E4">
        <w:rPr>
          <w:rFonts w:ascii="Arial" w:eastAsia="Times New Roman" w:hAnsi="Arial" w:cs="Arial"/>
          <w:color w:val="333333"/>
          <w:sz w:val="21"/>
          <w:szCs w:val="21"/>
        </w:rPr>
        <w:t>+ Thí sinh ĐKXT vào 2 trường trở lên trong nhóm GX : 60 nghìn đồng</w:t>
      </w:r>
    </w:p>
    <w:p w:rsidR="006939E4" w:rsidRPr="006939E4" w:rsidRDefault="006939E4" w:rsidP="006939E4">
      <w:pPr>
        <w:shd w:val="clear" w:color="auto" w:fill="F0F0F0"/>
        <w:spacing w:line="315" w:lineRule="atLeast"/>
        <w:jc w:val="right"/>
        <w:rPr>
          <w:rFonts w:ascii="Arial" w:eastAsia="Times New Roman" w:hAnsi="Arial" w:cs="Arial"/>
          <w:color w:val="666666"/>
          <w:sz w:val="21"/>
          <w:szCs w:val="21"/>
        </w:rPr>
      </w:pPr>
      <w:r w:rsidRPr="006939E4">
        <w:rPr>
          <w:rFonts w:ascii="Arial" w:eastAsia="Times New Roman" w:hAnsi="Arial" w:cs="Arial"/>
          <w:b/>
          <w:bCs/>
          <w:color w:val="666666"/>
          <w:sz w:val="21"/>
        </w:rPr>
        <w:t>Lập Phương</w:t>
      </w: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939E4"/>
    <w:rsid w:val="006939E4"/>
    <w:rsid w:val="00A63E11"/>
    <w:rsid w:val="00CF1023"/>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6939E4"/>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9E4"/>
    <w:rPr>
      <w:rFonts w:eastAsia="Times New Roman" w:cs="Times New Roman"/>
      <w:b/>
      <w:bCs/>
      <w:kern w:val="36"/>
      <w:sz w:val="48"/>
      <w:szCs w:val="48"/>
    </w:rPr>
  </w:style>
  <w:style w:type="paragraph" w:customStyle="1" w:styleId="avatar">
    <w:name w:val="avatar"/>
    <w:basedOn w:val="Normal"/>
    <w:rsid w:val="006939E4"/>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6939E4"/>
    <w:rPr>
      <w:i/>
      <w:iCs/>
    </w:rPr>
  </w:style>
  <w:style w:type="paragraph" w:styleId="NormalWeb">
    <w:name w:val="Normal (Web)"/>
    <w:basedOn w:val="Normal"/>
    <w:uiPriority w:val="99"/>
    <w:unhideWhenUsed/>
    <w:rsid w:val="006939E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6939E4"/>
    <w:rPr>
      <w:b/>
      <w:bCs/>
    </w:rPr>
  </w:style>
  <w:style w:type="character" w:customStyle="1" w:styleId="apple-converted-space">
    <w:name w:val="apple-converted-space"/>
    <w:basedOn w:val="DefaultParagraphFont"/>
    <w:rsid w:val="006939E4"/>
  </w:style>
  <w:style w:type="paragraph" w:customStyle="1" w:styleId="author">
    <w:name w:val="author"/>
    <w:basedOn w:val="Normal"/>
    <w:rsid w:val="006939E4"/>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6939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774529">
      <w:bodyDiv w:val="1"/>
      <w:marLeft w:val="0"/>
      <w:marRight w:val="0"/>
      <w:marTop w:val="0"/>
      <w:marBottom w:val="0"/>
      <w:divBdr>
        <w:top w:val="none" w:sz="0" w:space="0" w:color="auto"/>
        <w:left w:val="none" w:sz="0" w:space="0" w:color="auto"/>
        <w:bottom w:val="none" w:sz="0" w:space="0" w:color="auto"/>
        <w:right w:val="none" w:sz="0" w:space="0" w:color="auto"/>
      </w:divBdr>
      <w:divsChild>
        <w:div w:id="453445303">
          <w:marLeft w:val="0"/>
          <w:marRight w:val="0"/>
          <w:marTop w:val="0"/>
          <w:marBottom w:val="0"/>
          <w:divBdr>
            <w:top w:val="none" w:sz="0" w:space="0" w:color="auto"/>
            <w:left w:val="none" w:sz="0" w:space="0" w:color="auto"/>
            <w:bottom w:val="none" w:sz="0" w:space="0" w:color="auto"/>
            <w:right w:val="none" w:sz="0" w:space="0" w:color="auto"/>
          </w:divBdr>
          <w:divsChild>
            <w:div w:id="1266500863">
              <w:marLeft w:val="0"/>
              <w:marRight w:val="0"/>
              <w:marTop w:val="0"/>
              <w:marBottom w:val="150"/>
              <w:divBdr>
                <w:top w:val="none" w:sz="0" w:space="0" w:color="auto"/>
                <w:left w:val="none" w:sz="0" w:space="0" w:color="auto"/>
                <w:bottom w:val="none" w:sz="0" w:space="0" w:color="auto"/>
                <w:right w:val="none" w:sz="0" w:space="0" w:color="auto"/>
              </w:divBdr>
              <w:divsChild>
                <w:div w:id="1497115726">
                  <w:marLeft w:val="0"/>
                  <w:marRight w:val="0"/>
                  <w:marTop w:val="0"/>
                  <w:marBottom w:val="0"/>
                  <w:divBdr>
                    <w:top w:val="none" w:sz="0" w:space="0" w:color="auto"/>
                    <w:left w:val="none" w:sz="0" w:space="0" w:color="auto"/>
                    <w:bottom w:val="none" w:sz="0" w:space="0" w:color="auto"/>
                    <w:right w:val="none" w:sz="0" w:space="0" w:color="auto"/>
                  </w:divBdr>
                </w:div>
              </w:divsChild>
            </w:div>
            <w:div w:id="1955939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2016-08-08T04:28:00Z</dcterms:created>
  <dcterms:modified xsi:type="dcterms:W3CDTF">2016-08-08T04:31:00Z</dcterms:modified>
</cp:coreProperties>
</file>